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10F" w14:textId="568012F2" w:rsidR="00F609A3" w:rsidRPr="00115027" w:rsidRDefault="00115027" w:rsidP="00F609A3">
      <w:pPr>
        <w:spacing w:line="276" w:lineRule="auto"/>
        <w:jc w:val="right"/>
        <w:rPr>
          <w:rFonts w:ascii="Times New Roman" w:eastAsia="DengXian" w:hAnsi="Times New Roman" w:cs="Times New Roman"/>
          <w:b/>
          <w:bCs/>
        </w:rPr>
      </w:pPr>
      <w:r w:rsidRPr="00115027">
        <w:rPr>
          <w:rFonts w:ascii="Times New Roman" w:eastAsia="Cambria" w:hAnsi="Times New Roman" w:cs="Times New Roman"/>
          <w:b/>
          <w:bCs/>
        </w:rPr>
        <w:t>Łubianka,</w:t>
      </w:r>
      <w:r w:rsidR="00D75547">
        <w:rPr>
          <w:rFonts w:ascii="Times New Roman" w:eastAsia="Cambria" w:hAnsi="Times New Roman" w:cs="Times New Roman"/>
          <w:b/>
          <w:bCs/>
        </w:rPr>
        <w:t xml:space="preserve"> </w:t>
      </w:r>
      <w:r w:rsidR="009F1927">
        <w:rPr>
          <w:rFonts w:ascii="Times New Roman" w:eastAsia="Cambria" w:hAnsi="Times New Roman" w:cs="Times New Roman"/>
          <w:b/>
          <w:bCs/>
        </w:rPr>
        <w:t>1</w:t>
      </w:r>
      <w:r w:rsidR="00D75547">
        <w:rPr>
          <w:rFonts w:ascii="Times New Roman" w:eastAsia="Cambria" w:hAnsi="Times New Roman" w:cs="Times New Roman"/>
          <w:b/>
          <w:bCs/>
        </w:rPr>
        <w:t>8</w:t>
      </w:r>
      <w:r w:rsidRPr="00115027">
        <w:rPr>
          <w:rFonts w:ascii="Times New Roman" w:eastAsia="Cambria" w:hAnsi="Times New Roman" w:cs="Times New Roman"/>
          <w:b/>
          <w:bCs/>
        </w:rPr>
        <w:t>.</w:t>
      </w:r>
      <w:r w:rsidR="00D75547">
        <w:rPr>
          <w:rFonts w:ascii="Times New Roman" w:eastAsia="Cambria" w:hAnsi="Times New Roman" w:cs="Times New Roman"/>
          <w:b/>
          <w:bCs/>
        </w:rPr>
        <w:t>0</w:t>
      </w:r>
      <w:r w:rsidR="00B75F59">
        <w:rPr>
          <w:rFonts w:ascii="Times New Roman" w:eastAsia="Cambria" w:hAnsi="Times New Roman" w:cs="Times New Roman"/>
          <w:b/>
          <w:bCs/>
        </w:rPr>
        <w:t>1</w:t>
      </w:r>
      <w:r w:rsidRPr="00115027">
        <w:rPr>
          <w:rFonts w:ascii="Times New Roman" w:eastAsia="Cambria" w:hAnsi="Times New Roman" w:cs="Times New Roman"/>
          <w:b/>
          <w:bCs/>
        </w:rPr>
        <w:t>.202</w:t>
      </w:r>
      <w:r w:rsidR="00D75547">
        <w:rPr>
          <w:rFonts w:ascii="Times New Roman" w:eastAsia="Cambria" w:hAnsi="Times New Roman" w:cs="Times New Roman"/>
          <w:b/>
          <w:bCs/>
        </w:rPr>
        <w:t>4</w:t>
      </w:r>
      <w:r w:rsidRPr="00115027">
        <w:rPr>
          <w:rFonts w:ascii="Times New Roman" w:eastAsia="Cambria" w:hAnsi="Times New Roman" w:cs="Times New Roman"/>
          <w:b/>
          <w:bCs/>
        </w:rPr>
        <w:t xml:space="preserve"> r.</w:t>
      </w:r>
    </w:p>
    <w:p w14:paraId="57108217" w14:textId="301BD832" w:rsidR="00E253DE" w:rsidRPr="00115027" w:rsidRDefault="00E253DE" w:rsidP="00E253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15027">
        <w:rPr>
          <w:rFonts w:ascii="Times New Roman" w:hAnsi="Times New Roman" w:cs="Times New Roman"/>
          <w:b/>
          <w:bCs/>
        </w:rPr>
        <w:t>Zamawiający:</w:t>
      </w:r>
    </w:p>
    <w:p w14:paraId="2F5BA01F" w14:textId="77777777" w:rsidR="00E253DE" w:rsidRPr="00115027" w:rsidRDefault="00E253DE" w:rsidP="00E253DE">
      <w:pPr>
        <w:spacing w:line="276" w:lineRule="auto"/>
        <w:rPr>
          <w:rFonts w:ascii="Times New Roman" w:hAnsi="Times New Roman" w:cs="Times New Roman"/>
        </w:rPr>
      </w:pPr>
      <w:r w:rsidRPr="00115027">
        <w:rPr>
          <w:rFonts w:ascii="Times New Roman" w:hAnsi="Times New Roman" w:cs="Times New Roman"/>
        </w:rPr>
        <w:t xml:space="preserve">Gminny Ośrodek Pomocy Społecznej </w:t>
      </w:r>
    </w:p>
    <w:p w14:paraId="691A9116" w14:textId="410E76AB" w:rsidR="00E253DE" w:rsidRPr="00115027" w:rsidRDefault="00E253DE" w:rsidP="00E253DE">
      <w:pPr>
        <w:spacing w:line="276" w:lineRule="auto"/>
        <w:rPr>
          <w:rFonts w:ascii="Times New Roman" w:hAnsi="Times New Roman" w:cs="Times New Roman"/>
        </w:rPr>
      </w:pPr>
      <w:r w:rsidRPr="00115027">
        <w:rPr>
          <w:rFonts w:ascii="Times New Roman" w:hAnsi="Times New Roman" w:cs="Times New Roman"/>
        </w:rPr>
        <w:t>ul. Bydgoska 10</w:t>
      </w:r>
    </w:p>
    <w:p w14:paraId="3B3CF24D" w14:textId="77777777" w:rsidR="00E253DE" w:rsidRPr="00115027" w:rsidRDefault="00E253DE" w:rsidP="00E253DE">
      <w:pPr>
        <w:spacing w:line="276" w:lineRule="auto"/>
        <w:rPr>
          <w:rFonts w:ascii="Times New Roman" w:hAnsi="Times New Roman" w:cs="Times New Roman"/>
          <w:b/>
          <w:bCs/>
        </w:rPr>
      </w:pPr>
      <w:r w:rsidRPr="00115027">
        <w:rPr>
          <w:rFonts w:ascii="Times New Roman" w:hAnsi="Times New Roman" w:cs="Times New Roman"/>
        </w:rPr>
        <w:t>87-152 Łubianka</w:t>
      </w:r>
    </w:p>
    <w:p w14:paraId="2C2850BC" w14:textId="77777777" w:rsidR="00E253DE" w:rsidRPr="00115027" w:rsidRDefault="00E253DE" w:rsidP="00E253D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1AE1131" w14:textId="00C156FB" w:rsidR="00E253DE" w:rsidRPr="00115027" w:rsidRDefault="00E253DE" w:rsidP="00E253D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5027">
        <w:rPr>
          <w:rFonts w:ascii="Times New Roman" w:hAnsi="Times New Roman" w:cs="Times New Roman"/>
          <w:b/>
          <w:bCs/>
        </w:rPr>
        <w:t xml:space="preserve">INFORMACJA O </w:t>
      </w:r>
      <w:r w:rsidR="00911E8C">
        <w:rPr>
          <w:rFonts w:ascii="Times New Roman" w:hAnsi="Times New Roman" w:cs="Times New Roman"/>
          <w:b/>
          <w:bCs/>
        </w:rPr>
        <w:t>ZŁOŻONYCH OFERTACH</w:t>
      </w:r>
      <w:r w:rsidR="00AF1E59">
        <w:rPr>
          <w:rFonts w:ascii="Times New Roman" w:hAnsi="Times New Roman" w:cs="Times New Roman"/>
          <w:b/>
          <w:bCs/>
        </w:rPr>
        <w:t xml:space="preserve"> I UNIEWAŻNIENIU POSTĘPOWANIA</w:t>
      </w:r>
    </w:p>
    <w:p w14:paraId="2DD656EC" w14:textId="77777777" w:rsidR="00E253DE" w:rsidRPr="00115027" w:rsidRDefault="00E253DE" w:rsidP="00E253DE">
      <w:pPr>
        <w:spacing w:line="276" w:lineRule="auto"/>
        <w:jc w:val="both"/>
        <w:rPr>
          <w:rFonts w:ascii="Times New Roman" w:hAnsi="Times New Roman" w:cs="Times New Roman"/>
        </w:rPr>
      </w:pPr>
    </w:p>
    <w:p w14:paraId="26396221" w14:textId="08AC4589" w:rsidR="00D75547" w:rsidRPr="00D75547" w:rsidRDefault="00E253DE" w:rsidP="00D7554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15027">
        <w:rPr>
          <w:rFonts w:ascii="Times New Roman" w:hAnsi="Times New Roman" w:cs="Times New Roman"/>
        </w:rPr>
        <w:t>Dotyczy</w:t>
      </w:r>
      <w:r w:rsidR="00F609A3" w:rsidRPr="00115027">
        <w:rPr>
          <w:rFonts w:ascii="Times New Roman" w:hAnsi="Times New Roman" w:cs="Times New Roman"/>
        </w:rPr>
        <w:t xml:space="preserve"> postępowania n</w:t>
      </w:r>
      <w:r w:rsidR="00D75547">
        <w:rPr>
          <w:rFonts w:ascii="Times New Roman" w:hAnsi="Times New Roman" w:cs="Times New Roman"/>
        </w:rPr>
        <w:t>a</w:t>
      </w:r>
      <w:r w:rsidRPr="00115027">
        <w:rPr>
          <w:rFonts w:ascii="Times New Roman" w:hAnsi="Times New Roman" w:cs="Times New Roman"/>
        </w:rPr>
        <w:t xml:space="preserve">: </w:t>
      </w:r>
      <w:r w:rsidR="00D75547" w:rsidRPr="00D75547">
        <w:rPr>
          <w:rFonts w:ascii="Times New Roman" w:hAnsi="Times New Roman" w:cs="Times New Roman"/>
          <w:b/>
          <w:bCs/>
        </w:rPr>
        <w:t xml:space="preserve">usługi cateringowe </w:t>
      </w:r>
      <w:r w:rsidR="00D75547" w:rsidRPr="00D75547">
        <w:rPr>
          <w:rFonts w:ascii="Times New Roman" w:hAnsi="Times New Roman" w:cs="Times New Roman" w:hint="eastAsia"/>
          <w:b/>
          <w:bCs/>
        </w:rPr>
        <w:t>–</w:t>
      </w:r>
      <w:r w:rsidR="00D75547" w:rsidRPr="00D75547">
        <w:rPr>
          <w:rFonts w:ascii="Times New Roman" w:hAnsi="Times New Roman" w:cs="Times New Roman"/>
          <w:b/>
          <w:bCs/>
        </w:rPr>
        <w:t xml:space="preserve"> wyżywienia dla podopiecznych</w:t>
      </w:r>
    </w:p>
    <w:p w14:paraId="12D17893" w14:textId="02764A68" w:rsidR="00E253DE" w:rsidRPr="00115027" w:rsidRDefault="00D75547" w:rsidP="00D75547">
      <w:pPr>
        <w:spacing w:line="276" w:lineRule="auto"/>
        <w:jc w:val="both"/>
        <w:rPr>
          <w:rFonts w:ascii="Times New Roman" w:hAnsi="Times New Roman" w:cs="Times New Roman"/>
        </w:rPr>
      </w:pPr>
      <w:r w:rsidRPr="00D75547">
        <w:rPr>
          <w:rFonts w:ascii="Times New Roman" w:hAnsi="Times New Roman" w:cs="Times New Roman"/>
          <w:b/>
          <w:bCs/>
        </w:rPr>
        <w:t xml:space="preserve">Dziennego Domu Pobytu w Bierzgłowie </w:t>
      </w:r>
      <w:r w:rsidR="00115027" w:rsidRPr="00115027">
        <w:rPr>
          <w:rFonts w:ascii="Times New Roman" w:hAnsi="Times New Roman" w:cs="Times New Roman"/>
          <w:b/>
          <w:bCs/>
        </w:rPr>
        <w:t>- GOPS.271.</w:t>
      </w:r>
      <w:r w:rsidR="009F1927">
        <w:rPr>
          <w:rFonts w:ascii="Times New Roman" w:hAnsi="Times New Roman" w:cs="Times New Roman"/>
          <w:b/>
          <w:bCs/>
        </w:rPr>
        <w:t>1</w:t>
      </w:r>
      <w:r w:rsidR="00115027" w:rsidRPr="00115027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</w:r>
      <w:r w:rsidR="00F609A3" w:rsidRPr="00115027">
        <w:rPr>
          <w:rFonts w:ascii="Times New Roman" w:hAnsi="Times New Roman" w:cs="Times New Roman"/>
        </w:rPr>
        <w:tab/>
        <w:t xml:space="preserve"> </w:t>
      </w:r>
    </w:p>
    <w:p w14:paraId="090B54E8" w14:textId="77777777" w:rsidR="00E253DE" w:rsidRPr="00115027" w:rsidRDefault="00E253DE" w:rsidP="00E253DE">
      <w:pPr>
        <w:spacing w:line="276" w:lineRule="auto"/>
        <w:jc w:val="both"/>
        <w:rPr>
          <w:rFonts w:ascii="Times New Roman" w:hAnsi="Times New Roman" w:cs="Times New Roman"/>
        </w:rPr>
      </w:pPr>
    </w:p>
    <w:p w14:paraId="12C4EFEC" w14:textId="4616B97A" w:rsidR="00E253DE" w:rsidRDefault="00C66A20" w:rsidP="00E253DE">
      <w:pPr>
        <w:spacing w:line="276" w:lineRule="auto"/>
        <w:jc w:val="both"/>
        <w:rPr>
          <w:rFonts w:ascii="Times New Roman" w:hAnsi="Times New Roman" w:cs="Times New Roman"/>
        </w:rPr>
      </w:pPr>
      <w:r w:rsidRPr="00115027">
        <w:rPr>
          <w:rFonts w:ascii="Times New Roman" w:hAnsi="Times New Roman" w:cs="Times New Roman"/>
        </w:rPr>
        <w:t>Z</w:t>
      </w:r>
      <w:r w:rsidR="00E253DE" w:rsidRPr="00115027">
        <w:rPr>
          <w:rFonts w:ascii="Times New Roman" w:hAnsi="Times New Roman" w:cs="Times New Roman"/>
        </w:rPr>
        <w:t xml:space="preserve">amawiający informuje, że w </w:t>
      </w:r>
      <w:r w:rsidRPr="00115027">
        <w:rPr>
          <w:rFonts w:ascii="Times New Roman" w:hAnsi="Times New Roman" w:cs="Times New Roman"/>
        </w:rPr>
        <w:t xml:space="preserve">ww. </w:t>
      </w:r>
      <w:r w:rsidR="00E253DE" w:rsidRPr="00115027">
        <w:rPr>
          <w:rFonts w:ascii="Times New Roman" w:hAnsi="Times New Roman" w:cs="Times New Roman"/>
        </w:rPr>
        <w:t>procedurze o udzielenie zamówienia publicznego</w:t>
      </w:r>
      <w:r w:rsidR="00911E8C">
        <w:rPr>
          <w:rFonts w:ascii="Times New Roman" w:hAnsi="Times New Roman" w:cs="Times New Roman"/>
        </w:rPr>
        <w:t>, w terminie wyznaczonym na składanie ofert,</w:t>
      </w:r>
      <w:r w:rsidR="00E253DE" w:rsidRPr="00B859F3">
        <w:rPr>
          <w:rFonts w:ascii="Times New Roman" w:hAnsi="Times New Roman" w:cs="Times New Roman"/>
        </w:rPr>
        <w:t xml:space="preserve"> wpłynęły następujące oferty:</w:t>
      </w:r>
    </w:p>
    <w:p w14:paraId="3A53C455" w14:textId="46EEF4AE" w:rsidR="00F609A3" w:rsidRDefault="00F609A3" w:rsidP="00E253D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253DE" w:rsidRPr="00B859F3" w14:paraId="175A3464" w14:textId="77777777" w:rsidTr="00F609A3">
        <w:tc>
          <w:tcPr>
            <w:tcW w:w="1271" w:type="dxa"/>
          </w:tcPr>
          <w:p w14:paraId="10A51779" w14:textId="77777777" w:rsidR="00E253DE" w:rsidRPr="00B859F3" w:rsidRDefault="00E253DE" w:rsidP="00F87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9F3">
              <w:rPr>
                <w:rFonts w:ascii="Times New Roman" w:hAnsi="Times New Roman" w:cs="Times New Roman"/>
                <w:b/>
                <w:bCs/>
              </w:rPr>
              <w:t>Numer oferty</w:t>
            </w:r>
          </w:p>
        </w:tc>
        <w:tc>
          <w:tcPr>
            <w:tcW w:w="4770" w:type="dxa"/>
          </w:tcPr>
          <w:p w14:paraId="2882365B" w14:textId="77777777" w:rsidR="00E253DE" w:rsidRPr="00B859F3" w:rsidRDefault="00E253DE" w:rsidP="00F87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9F3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3021" w:type="dxa"/>
          </w:tcPr>
          <w:p w14:paraId="266BF9C8" w14:textId="2C6BC8C6" w:rsidR="00E253DE" w:rsidRPr="00B859F3" w:rsidRDefault="00E253DE" w:rsidP="00F87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9F3">
              <w:rPr>
                <w:rFonts w:ascii="Times New Roman" w:hAnsi="Times New Roman" w:cs="Times New Roman"/>
                <w:b/>
                <w:bCs/>
              </w:rPr>
              <w:t>Cena</w:t>
            </w:r>
            <w:r w:rsidR="00F609A3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 w:rsidR="00D75547">
              <w:rPr>
                <w:rFonts w:ascii="Times New Roman" w:hAnsi="Times New Roman" w:cs="Times New Roman"/>
                <w:b/>
                <w:bCs/>
              </w:rPr>
              <w:t xml:space="preserve">posiłek </w:t>
            </w:r>
            <w:r w:rsidR="008F3969">
              <w:rPr>
                <w:rFonts w:ascii="Times New Roman" w:hAnsi="Times New Roman" w:cs="Times New Roman"/>
                <w:b/>
                <w:bCs/>
              </w:rPr>
              <w:t xml:space="preserve">(jednostkowa) </w:t>
            </w:r>
            <w:r w:rsidR="00D75547">
              <w:rPr>
                <w:rFonts w:ascii="Times New Roman" w:hAnsi="Times New Roman" w:cs="Times New Roman"/>
                <w:b/>
                <w:bCs/>
              </w:rPr>
              <w:t>– zestaw</w:t>
            </w:r>
            <w:r w:rsidR="008F3969">
              <w:rPr>
                <w:rFonts w:ascii="Times New Roman" w:hAnsi="Times New Roman" w:cs="Times New Roman"/>
                <w:b/>
                <w:bCs/>
              </w:rPr>
              <w:t>u</w:t>
            </w:r>
            <w:r w:rsidR="00D75547">
              <w:rPr>
                <w:rFonts w:ascii="Times New Roman" w:hAnsi="Times New Roman" w:cs="Times New Roman"/>
                <w:b/>
                <w:bCs/>
              </w:rPr>
              <w:t xml:space="preserve"> dań</w:t>
            </w:r>
            <w:r w:rsidR="008F3969">
              <w:rPr>
                <w:rFonts w:ascii="Times New Roman" w:hAnsi="Times New Roman" w:cs="Times New Roman"/>
                <w:b/>
                <w:bCs/>
              </w:rPr>
              <w:t>,</w:t>
            </w:r>
            <w:r w:rsidR="00D75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09A3">
              <w:rPr>
                <w:rFonts w:ascii="Times New Roman" w:hAnsi="Times New Roman" w:cs="Times New Roman"/>
                <w:b/>
                <w:bCs/>
              </w:rPr>
              <w:t>zaoferowana przez Wykonawcę (brutto)</w:t>
            </w:r>
          </w:p>
        </w:tc>
      </w:tr>
      <w:tr w:rsidR="00E253DE" w:rsidRPr="00B859F3" w14:paraId="00FBFF08" w14:textId="77777777" w:rsidTr="00F609A3">
        <w:tc>
          <w:tcPr>
            <w:tcW w:w="1271" w:type="dxa"/>
          </w:tcPr>
          <w:p w14:paraId="7A98A5C9" w14:textId="59BF717D" w:rsidR="00E253DE" w:rsidRPr="00B859F3" w:rsidRDefault="009F1927" w:rsidP="00F871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4D1CF878" w14:textId="681DC0E5" w:rsidR="00E253DE" w:rsidRPr="00D75547" w:rsidRDefault="00D75547" w:rsidP="00F871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5547">
              <w:rPr>
                <w:rFonts w:ascii="Times New Roman" w:hAnsi="Times New Roman" w:cs="Times New Roman"/>
              </w:rPr>
              <w:t>SUN &amp; MORE Sp. z o. o., u</w:t>
            </w:r>
            <w:r>
              <w:rPr>
                <w:rFonts w:ascii="Times New Roman" w:hAnsi="Times New Roman" w:cs="Times New Roman"/>
              </w:rPr>
              <w:t>l. A. Madalińskiego 8/215, 70-101 Szczecin</w:t>
            </w:r>
          </w:p>
        </w:tc>
        <w:tc>
          <w:tcPr>
            <w:tcW w:w="3021" w:type="dxa"/>
          </w:tcPr>
          <w:p w14:paraId="6B74F586" w14:textId="0B194029" w:rsidR="00F609A3" w:rsidRPr="00F609A3" w:rsidRDefault="00F609A3" w:rsidP="00F871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9A3">
              <w:rPr>
                <w:rFonts w:ascii="Times New Roman" w:hAnsi="Times New Roman" w:cs="Times New Roman"/>
              </w:rPr>
              <w:t xml:space="preserve">Cena oferty </w:t>
            </w:r>
            <w:r w:rsidR="00D75547">
              <w:rPr>
                <w:rFonts w:ascii="Times New Roman" w:hAnsi="Times New Roman" w:cs="Times New Roman"/>
              </w:rPr>
              <w:t>–</w:t>
            </w:r>
            <w:r w:rsidRPr="00F609A3">
              <w:rPr>
                <w:rFonts w:ascii="Times New Roman" w:hAnsi="Times New Roman" w:cs="Times New Roman"/>
              </w:rPr>
              <w:t xml:space="preserve"> </w:t>
            </w:r>
            <w:r w:rsidR="00D75547">
              <w:rPr>
                <w:rFonts w:ascii="Times New Roman" w:hAnsi="Times New Roman" w:cs="Times New Roman"/>
              </w:rPr>
              <w:t xml:space="preserve">koszt jednego posiłku – dwudaniowego obiadu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D75547"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</w:tr>
      <w:tr w:rsidR="00804895" w:rsidRPr="00B859F3" w14:paraId="54F5F0BE" w14:textId="77777777" w:rsidTr="00F609A3">
        <w:tc>
          <w:tcPr>
            <w:tcW w:w="1271" w:type="dxa"/>
          </w:tcPr>
          <w:p w14:paraId="3BF86737" w14:textId="75F06410" w:rsidR="00804895" w:rsidRDefault="00804895" w:rsidP="00F871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0" w:type="dxa"/>
          </w:tcPr>
          <w:p w14:paraId="0EB404C5" w14:textId="77777777" w:rsidR="00D75547" w:rsidRPr="00D75547" w:rsidRDefault="00D75547" w:rsidP="00D75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5547">
              <w:rPr>
                <w:rFonts w:ascii="Times New Roman" w:hAnsi="Times New Roman" w:cs="Times New Roman"/>
              </w:rPr>
              <w:t>Centrum Ekonomii Społecznej BONUM</w:t>
            </w:r>
          </w:p>
          <w:p w14:paraId="439C6AD8" w14:textId="2B27BFED" w:rsidR="00804895" w:rsidRPr="00F609A3" w:rsidRDefault="00D75547" w:rsidP="00D755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5547">
              <w:rPr>
                <w:rFonts w:ascii="Times New Roman" w:hAnsi="Times New Roman" w:cs="Times New Roman" w:hint="eastAsia"/>
              </w:rPr>
              <w:t>ul. Gajdy 3, 87-300 Brodnica</w:t>
            </w:r>
          </w:p>
        </w:tc>
        <w:tc>
          <w:tcPr>
            <w:tcW w:w="3021" w:type="dxa"/>
          </w:tcPr>
          <w:p w14:paraId="62BBAD58" w14:textId="270E0203" w:rsidR="00804895" w:rsidRPr="00F609A3" w:rsidRDefault="00D75547" w:rsidP="008048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09A3">
              <w:rPr>
                <w:rFonts w:ascii="Times New Roman" w:hAnsi="Times New Roman" w:cs="Times New Roman"/>
              </w:rPr>
              <w:t xml:space="preserve">Cena oferty </w:t>
            </w:r>
            <w:r>
              <w:rPr>
                <w:rFonts w:ascii="Times New Roman" w:hAnsi="Times New Roman" w:cs="Times New Roman"/>
              </w:rPr>
              <w:t>–</w:t>
            </w:r>
            <w:r w:rsidRPr="00F60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koszt jednego posiłku – dwudaniowego obiadu = </w:t>
            </w:r>
            <w:r>
              <w:rPr>
                <w:rFonts w:ascii="Times New Roman" w:hAnsi="Times New Roman" w:cs="Times New Roman"/>
                <w:b/>
                <w:bCs/>
              </w:rPr>
              <w:t>35,00 zł</w:t>
            </w:r>
          </w:p>
        </w:tc>
      </w:tr>
    </w:tbl>
    <w:p w14:paraId="51697599" w14:textId="77777777" w:rsidR="00DC26BE" w:rsidRDefault="00DC26BE" w:rsidP="00DC26BE">
      <w:pPr>
        <w:jc w:val="both"/>
        <w:rPr>
          <w:rFonts w:hint="eastAsia"/>
        </w:rPr>
      </w:pPr>
    </w:p>
    <w:p w14:paraId="32F03DA3" w14:textId="152628A6" w:rsidR="00451F96" w:rsidRPr="00DC26BE" w:rsidRDefault="00D75547" w:rsidP="00F12B08">
      <w:pPr>
        <w:jc w:val="both"/>
        <w:rPr>
          <w:rFonts w:hint="eastAsia"/>
        </w:rPr>
      </w:pPr>
      <w:r>
        <w:t xml:space="preserve">Zamawiający informuję, iż </w:t>
      </w:r>
      <w:r w:rsidR="00DC26BE">
        <w:t>zamierz</w:t>
      </w:r>
      <w:r w:rsidR="00DC26BE">
        <w:rPr>
          <w:rFonts w:hint="eastAsia"/>
        </w:rPr>
        <w:t>a</w:t>
      </w:r>
      <w:r w:rsidR="00DC26BE">
        <w:t xml:space="preserve"> przeznaczyć na realizację zamówienia - w ujęciu jednostkowym - kwotę wynoszącą </w:t>
      </w:r>
      <w:r w:rsidR="00DC26BE" w:rsidRPr="00DC26BE">
        <w:rPr>
          <w:b/>
          <w:bCs/>
        </w:rPr>
        <w:t>20,00 zł</w:t>
      </w:r>
      <w:r w:rsidR="00DC26BE">
        <w:rPr>
          <w:b/>
          <w:bCs/>
        </w:rPr>
        <w:t>.</w:t>
      </w:r>
      <w:r w:rsidR="00DC26BE" w:rsidRPr="00DC26BE">
        <w:t xml:space="preserve"> Mając na względzie powyższe, należy zauważyć, iż cena oferty z najniższą ceną,</w:t>
      </w:r>
      <w:r w:rsidR="00DC26BE">
        <w:t xml:space="preserve"> </w:t>
      </w:r>
      <w:r w:rsidR="00DC26BE" w:rsidRPr="00DC26BE">
        <w:t>przewyższa kwotę, jaką zamawiający może przeznaczyć na sfinansowanie zam</w:t>
      </w:r>
      <w:r w:rsidR="00DC26BE">
        <w:t>ó</w:t>
      </w:r>
      <w:r w:rsidR="00DC26BE" w:rsidRPr="00DC26BE">
        <w:t>wienia.</w:t>
      </w:r>
      <w:r w:rsidR="00DC26BE">
        <w:t xml:space="preserve"> </w:t>
      </w:r>
      <w:r w:rsidR="00DC26BE" w:rsidRPr="00DC26BE">
        <w:t>Zamawiający nie może zwiększyć kwoty na realizację za</w:t>
      </w:r>
      <w:r w:rsidR="00DC26BE">
        <w:t>mó</w:t>
      </w:r>
      <w:r w:rsidR="00DC26BE" w:rsidRPr="00DC26BE">
        <w:t>wienia objętego przedmiotową</w:t>
      </w:r>
      <w:r w:rsidR="00DC26BE">
        <w:t xml:space="preserve"> </w:t>
      </w:r>
      <w:r w:rsidR="00DC26BE" w:rsidRPr="00DC26BE">
        <w:t>procedurą do oferty najkorzystniejszej cenowo. Mając powyższe na względzie uznać należy,</w:t>
      </w:r>
      <w:r w:rsidR="00DC26BE">
        <w:t xml:space="preserve"> </w:t>
      </w:r>
      <w:r w:rsidR="00DC26BE" w:rsidRPr="00DC26BE">
        <w:t>iż zachodzi przesłanka unieważnienia rzeczonego postępowania. Wobec powyższego Zamawiający unieważnia postępowanie w sprawie</w:t>
      </w:r>
      <w:r w:rsidR="00F12B08">
        <w:t xml:space="preserve"> </w:t>
      </w:r>
      <w:r w:rsidR="00DC26BE" w:rsidRPr="00DC26BE">
        <w:rPr>
          <w:rFonts w:hint="eastAsia"/>
        </w:rPr>
        <w:t>udzielenia za</w:t>
      </w:r>
      <w:r w:rsidR="00F12B08">
        <w:t>mów</w:t>
      </w:r>
      <w:r w:rsidR="00DC26BE" w:rsidRPr="00DC26BE">
        <w:rPr>
          <w:rFonts w:hint="eastAsia"/>
        </w:rPr>
        <w:t>ienia publicznego</w:t>
      </w:r>
      <w:r w:rsidR="00F12B08">
        <w:t>.</w:t>
      </w:r>
    </w:p>
    <w:p w14:paraId="5C041715" w14:textId="23F66629" w:rsidR="00D75547" w:rsidRDefault="00D75547" w:rsidP="00451F96">
      <w:pPr>
        <w:jc w:val="both"/>
        <w:rPr>
          <w:rFonts w:hint="eastAsia"/>
        </w:rPr>
      </w:pPr>
    </w:p>
    <w:p w14:paraId="3EB9EB17" w14:textId="77777777" w:rsidR="00D75547" w:rsidRDefault="00D75547" w:rsidP="00451F96">
      <w:pPr>
        <w:jc w:val="both"/>
        <w:rPr>
          <w:rFonts w:hint="eastAsia"/>
        </w:rPr>
      </w:pPr>
    </w:p>
    <w:p w14:paraId="5E42A0F7" w14:textId="77777777" w:rsidR="00451F96" w:rsidRDefault="00451F96" w:rsidP="00451F96">
      <w:pPr>
        <w:jc w:val="both"/>
        <w:rPr>
          <w:rFonts w:hint="eastAsia"/>
        </w:rPr>
      </w:pPr>
    </w:p>
    <w:p w14:paraId="31AA131A" w14:textId="77777777" w:rsidR="00451F96" w:rsidRPr="00FB7369" w:rsidRDefault="00451F96" w:rsidP="00451F96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Kierownik Gminnego Ośrodka </w:t>
      </w:r>
      <w:r>
        <w:rPr>
          <w:rFonts w:asciiTheme="majorHAnsi" w:hAnsiTheme="majorHAnsi" w:cstheme="majorHAnsi"/>
          <w:b/>
          <w:bCs/>
        </w:rPr>
        <w:br/>
        <w:t>Pomocy Społecznej w Łubiance</w:t>
      </w:r>
    </w:p>
    <w:p w14:paraId="64AB8816" w14:textId="77777777" w:rsidR="00451F96" w:rsidRPr="00FB7369" w:rsidRDefault="00451F96" w:rsidP="00451F96">
      <w:pPr>
        <w:jc w:val="right"/>
        <w:rPr>
          <w:rFonts w:asciiTheme="majorHAnsi" w:hAnsiTheme="majorHAnsi" w:cstheme="majorHAnsi"/>
          <w:b/>
          <w:bCs/>
        </w:rPr>
      </w:pPr>
    </w:p>
    <w:p w14:paraId="2390A450" w14:textId="4AE94E0F" w:rsidR="00451F96" w:rsidRPr="00FB7369" w:rsidRDefault="00451F96" w:rsidP="00451F96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/-/</w:t>
      </w:r>
      <w:r w:rsidRPr="00FB7369">
        <w:rPr>
          <w:rFonts w:asciiTheme="majorHAnsi" w:hAnsiTheme="majorHAnsi" w:cstheme="majorHAnsi"/>
          <w:b/>
          <w:bCs/>
        </w:rPr>
        <w:t xml:space="preserve"> </w:t>
      </w:r>
      <w:r w:rsidRPr="00C83045">
        <w:rPr>
          <w:rFonts w:asciiTheme="majorHAnsi" w:hAnsiTheme="majorHAnsi" w:cstheme="majorHAnsi"/>
          <w:b/>
          <w:bCs/>
        </w:rPr>
        <w:t xml:space="preserve">Iwona </w:t>
      </w:r>
      <w:proofErr w:type="spellStart"/>
      <w:r w:rsidRPr="00C83045">
        <w:rPr>
          <w:rFonts w:asciiTheme="majorHAnsi" w:hAnsiTheme="majorHAnsi" w:cstheme="majorHAnsi"/>
          <w:b/>
          <w:bCs/>
        </w:rPr>
        <w:t>Szpejankowska</w:t>
      </w:r>
      <w:proofErr w:type="spellEnd"/>
    </w:p>
    <w:p w14:paraId="099EF1AC" w14:textId="77777777" w:rsidR="00451F96" w:rsidRDefault="00451F96" w:rsidP="00451F96">
      <w:pPr>
        <w:jc w:val="both"/>
        <w:rPr>
          <w:rFonts w:hint="eastAsia"/>
        </w:rPr>
      </w:pPr>
    </w:p>
    <w:sectPr w:rsidR="0045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1235"/>
    <w:multiLevelType w:val="hybridMultilevel"/>
    <w:tmpl w:val="0BD42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3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9"/>
    <w:rsid w:val="00115027"/>
    <w:rsid w:val="00151684"/>
    <w:rsid w:val="002B678C"/>
    <w:rsid w:val="002E77C9"/>
    <w:rsid w:val="003E3FE9"/>
    <w:rsid w:val="00451F96"/>
    <w:rsid w:val="00804895"/>
    <w:rsid w:val="008F3969"/>
    <w:rsid w:val="00911E8C"/>
    <w:rsid w:val="009F1927"/>
    <w:rsid w:val="00AF1E59"/>
    <w:rsid w:val="00B75F59"/>
    <w:rsid w:val="00C41B6D"/>
    <w:rsid w:val="00C66A20"/>
    <w:rsid w:val="00D75547"/>
    <w:rsid w:val="00DC26BE"/>
    <w:rsid w:val="00E253DE"/>
    <w:rsid w:val="00F12B08"/>
    <w:rsid w:val="00F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4F06"/>
  <w15:chartTrackingRefBased/>
  <w15:docId w15:val="{8A579265-A5B8-4333-BBF0-B86B4AE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3DE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3D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1F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16</cp:revision>
  <dcterms:created xsi:type="dcterms:W3CDTF">2022-12-29T17:14:00Z</dcterms:created>
  <dcterms:modified xsi:type="dcterms:W3CDTF">2024-01-17T20:26:00Z</dcterms:modified>
</cp:coreProperties>
</file>